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182B3" w14:textId="77777777" w:rsidR="002550D2" w:rsidRPr="0016586B" w:rsidRDefault="002550D2" w:rsidP="00175C8C">
      <w:pPr>
        <w:pStyle w:val="Titre2"/>
        <w:spacing w:before="0" w:after="0"/>
        <w:rPr>
          <w:rFonts w:ascii="Calibri" w:hAnsi="Calibri"/>
        </w:rPr>
      </w:pPr>
      <w:bookmarkStart w:id="0" w:name="_Toc429579867"/>
      <w:r>
        <w:rPr>
          <w:noProof/>
        </w:rPr>
        <w:drawing>
          <wp:inline distT="0" distB="0" distL="0" distR="0" wp14:anchorId="3D2E346C" wp14:editId="309DDC97">
            <wp:extent cx="922950" cy="252000"/>
            <wp:effectExtent l="0" t="0" r="0" b="0"/>
            <wp:docPr id="2" name="Image 1" descr="logo_ho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logo_hopita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50" cy="252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E13987">
        <w:rPr>
          <w:rFonts w:ascii="Calibri" w:hAnsi="Calibri"/>
          <w:color w:val="0070C0"/>
        </w:rPr>
        <w:tab/>
      </w:r>
      <w:r w:rsidR="00E13987" w:rsidRPr="0016586B">
        <w:rPr>
          <w:rFonts w:ascii="Calibri" w:hAnsi="Calibri"/>
          <w:u w:val="single"/>
        </w:rPr>
        <w:t>ANNEXE HMB</w:t>
      </w:r>
      <w:r w:rsidR="00E13987" w:rsidRPr="0016586B">
        <w:rPr>
          <w:rFonts w:ascii="Calibri" w:hAnsi="Calibri"/>
        </w:rPr>
        <w:t xml:space="preserve"> Maintenance des centrales d’aspiration médicale</w:t>
      </w:r>
    </w:p>
    <w:p w14:paraId="4A800B48" w14:textId="77777777" w:rsidR="002550D2" w:rsidRPr="0016586B" w:rsidRDefault="002550D2" w:rsidP="00175C8C">
      <w:pPr>
        <w:pStyle w:val="Titre2"/>
        <w:spacing w:before="0" w:after="0"/>
        <w:rPr>
          <w:rFonts w:ascii="Calibri" w:hAnsi="Calibri"/>
        </w:rPr>
      </w:pPr>
    </w:p>
    <w:p w14:paraId="2D3DA58B" w14:textId="77777777" w:rsidR="00175C8C" w:rsidRPr="003B67A5" w:rsidRDefault="00175C8C" w:rsidP="00175C8C">
      <w:pPr>
        <w:pStyle w:val="Titre2"/>
        <w:spacing w:before="0" w:after="0"/>
        <w:rPr>
          <w:rFonts w:ascii="Calibri" w:hAnsi="Calibri"/>
          <w:u w:val="single"/>
        </w:rPr>
      </w:pPr>
      <w:r w:rsidRPr="003B67A5">
        <w:rPr>
          <w:rFonts w:ascii="Calibri" w:hAnsi="Calibri"/>
          <w:u w:val="single"/>
        </w:rPr>
        <w:t>Liste des centrales d’aspiration</w:t>
      </w:r>
      <w:bookmarkEnd w:id="0"/>
      <w:r w:rsidRPr="003B67A5">
        <w:rPr>
          <w:rFonts w:ascii="Calibri" w:hAnsi="Calibri"/>
          <w:u w:val="single"/>
        </w:rPr>
        <w:t xml:space="preserve"> </w:t>
      </w:r>
    </w:p>
    <w:p w14:paraId="31049DEA" w14:textId="77777777" w:rsidR="002F265D" w:rsidRPr="002F265D" w:rsidRDefault="002F265D" w:rsidP="002F265D"/>
    <w:p w14:paraId="6C430E83" w14:textId="77777777" w:rsidR="001449AF" w:rsidRPr="00A16D0A" w:rsidRDefault="001449AF" w:rsidP="001449AF">
      <w:pPr>
        <w:autoSpaceDE w:val="0"/>
        <w:autoSpaceDN w:val="0"/>
        <w:adjustRightInd w:val="0"/>
        <w:rPr>
          <w:rFonts w:ascii="Calibri" w:hAnsi="Calibri" w:cs="Calibri"/>
          <w:u w:val="single"/>
        </w:rPr>
      </w:pPr>
      <w:r w:rsidRPr="00A16D0A">
        <w:rPr>
          <w:rFonts w:ascii="Calibri" w:hAnsi="Calibri" w:cs="Calibri"/>
          <w:u w:val="single"/>
        </w:rPr>
        <w:t>Hôpital de Sallanches</w:t>
      </w:r>
    </w:p>
    <w:p w14:paraId="6390A056" w14:textId="77777777" w:rsidR="001449AF" w:rsidRPr="00D7100E" w:rsidRDefault="001449AF" w:rsidP="001449AF">
      <w:pPr>
        <w:autoSpaceDE w:val="0"/>
        <w:autoSpaceDN w:val="0"/>
        <w:adjustRightInd w:val="0"/>
        <w:rPr>
          <w:rFonts w:ascii="Calibri" w:hAnsi="Calibri" w:cs="Calibri"/>
        </w:rPr>
      </w:pPr>
      <w:r w:rsidRPr="00D7100E">
        <w:rPr>
          <w:rFonts w:ascii="Calibri" w:hAnsi="Calibri" w:cs="Calibri"/>
        </w:rPr>
        <w:t xml:space="preserve">1 centrale MIL’S de type HOSPIVAC V3 CJ-E100-AFDP N°298 </w:t>
      </w:r>
      <w:proofErr w:type="gramStart"/>
      <w:r w:rsidRPr="00D7100E">
        <w:rPr>
          <w:rFonts w:ascii="Calibri" w:hAnsi="Calibri" w:cs="Calibri"/>
        </w:rPr>
        <w:t>mise</w:t>
      </w:r>
      <w:proofErr w:type="gramEnd"/>
      <w:r w:rsidRPr="00D7100E">
        <w:rPr>
          <w:rFonts w:ascii="Calibri" w:hAnsi="Calibri" w:cs="Calibri"/>
        </w:rPr>
        <w:t xml:space="preserve"> en service en 2003 comprenant :</w:t>
      </w:r>
    </w:p>
    <w:p w14:paraId="3E64010C" w14:textId="77777777" w:rsidR="001449AF" w:rsidRPr="00D7100E" w:rsidRDefault="001449AF" w:rsidP="001449A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D7100E">
        <w:rPr>
          <w:rFonts w:ascii="Calibri" w:hAnsi="Calibri" w:cs="Calibri"/>
        </w:rPr>
        <w:t>3 pompes MIL’S EVISA E100 (année 2003) ; 3 moteurs changés le 03/12/2020</w:t>
      </w:r>
    </w:p>
    <w:p w14:paraId="1D89023A" w14:textId="77777777" w:rsidR="001449AF" w:rsidRPr="00D7100E" w:rsidRDefault="001449AF" w:rsidP="001449A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D7100E">
        <w:rPr>
          <w:rFonts w:ascii="Calibri" w:hAnsi="Calibri" w:cs="Calibri"/>
        </w:rPr>
        <w:t>1 gestion MIL’S CYCLIC 2000J (année 2003)</w:t>
      </w:r>
    </w:p>
    <w:p w14:paraId="2C272EE2" w14:textId="77777777" w:rsidR="001449AF" w:rsidRPr="00D7100E" w:rsidRDefault="001449AF" w:rsidP="001449AF">
      <w:pPr>
        <w:autoSpaceDE w:val="0"/>
        <w:autoSpaceDN w:val="0"/>
        <w:adjustRightInd w:val="0"/>
        <w:rPr>
          <w:rFonts w:ascii="Calibri" w:hAnsi="Calibri" w:cs="Calibri"/>
        </w:rPr>
      </w:pPr>
    </w:p>
    <w:p w14:paraId="763E5656" w14:textId="77777777" w:rsidR="001449AF" w:rsidRPr="00D7100E" w:rsidRDefault="001449AF" w:rsidP="001449AF">
      <w:pPr>
        <w:autoSpaceDE w:val="0"/>
        <w:autoSpaceDN w:val="0"/>
        <w:adjustRightInd w:val="0"/>
        <w:rPr>
          <w:rFonts w:ascii="Calibri" w:hAnsi="Calibri" w:cs="Calibri"/>
        </w:rPr>
      </w:pPr>
      <w:r w:rsidRPr="00D7100E">
        <w:rPr>
          <w:rFonts w:ascii="Calibri" w:hAnsi="Calibri" w:cs="Calibri"/>
        </w:rPr>
        <w:t>A titre d’information, heures de fonctionnement relevées :</w:t>
      </w:r>
    </w:p>
    <w:p w14:paraId="508310F6" w14:textId="77777777" w:rsidR="001449AF" w:rsidRPr="00D7100E" w:rsidRDefault="001449AF" w:rsidP="001449AF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2426"/>
        <w:gridCol w:w="2408"/>
        <w:gridCol w:w="2133"/>
      </w:tblGrid>
      <w:tr w:rsidR="00D7100E" w:rsidRPr="00D7100E" w14:paraId="2F8CFB7F" w14:textId="77777777" w:rsidTr="009141B7">
        <w:tc>
          <w:tcPr>
            <w:tcW w:w="2319" w:type="dxa"/>
            <w:shd w:val="clear" w:color="auto" w:fill="auto"/>
          </w:tcPr>
          <w:p w14:paraId="4F2E809D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426" w:type="dxa"/>
            <w:shd w:val="clear" w:color="auto" w:fill="auto"/>
          </w:tcPr>
          <w:p w14:paraId="4608D94E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Septembre 2014</w:t>
            </w:r>
          </w:p>
        </w:tc>
        <w:tc>
          <w:tcPr>
            <w:tcW w:w="2408" w:type="dxa"/>
            <w:shd w:val="clear" w:color="auto" w:fill="auto"/>
          </w:tcPr>
          <w:p w14:paraId="5C85701B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Décembre 2016</w:t>
            </w:r>
          </w:p>
        </w:tc>
        <w:tc>
          <w:tcPr>
            <w:tcW w:w="2133" w:type="dxa"/>
          </w:tcPr>
          <w:p w14:paraId="062AB5CC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Août 2025</w:t>
            </w:r>
          </w:p>
        </w:tc>
      </w:tr>
      <w:tr w:rsidR="00D7100E" w:rsidRPr="00D7100E" w14:paraId="289687CC" w14:textId="77777777" w:rsidTr="009141B7">
        <w:tc>
          <w:tcPr>
            <w:tcW w:w="2319" w:type="dxa"/>
            <w:shd w:val="clear" w:color="auto" w:fill="auto"/>
          </w:tcPr>
          <w:p w14:paraId="4E990D4E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Pompe A</w:t>
            </w:r>
          </w:p>
        </w:tc>
        <w:tc>
          <w:tcPr>
            <w:tcW w:w="2426" w:type="dxa"/>
            <w:shd w:val="clear" w:color="auto" w:fill="auto"/>
          </w:tcPr>
          <w:p w14:paraId="60A03ED4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7626 h</w:t>
            </w:r>
          </w:p>
        </w:tc>
        <w:tc>
          <w:tcPr>
            <w:tcW w:w="2408" w:type="dxa"/>
            <w:shd w:val="clear" w:color="auto" w:fill="auto"/>
          </w:tcPr>
          <w:p w14:paraId="7E972E84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9824 h</w:t>
            </w:r>
          </w:p>
        </w:tc>
        <w:tc>
          <w:tcPr>
            <w:tcW w:w="2133" w:type="dxa"/>
          </w:tcPr>
          <w:p w14:paraId="08E0868D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19 920 h</w:t>
            </w:r>
          </w:p>
        </w:tc>
      </w:tr>
      <w:tr w:rsidR="00D7100E" w:rsidRPr="00D7100E" w14:paraId="7C822E5B" w14:textId="77777777" w:rsidTr="009141B7">
        <w:tc>
          <w:tcPr>
            <w:tcW w:w="2319" w:type="dxa"/>
            <w:shd w:val="clear" w:color="auto" w:fill="auto"/>
          </w:tcPr>
          <w:p w14:paraId="31E455E8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Pompe B</w:t>
            </w:r>
          </w:p>
        </w:tc>
        <w:tc>
          <w:tcPr>
            <w:tcW w:w="2426" w:type="dxa"/>
            <w:shd w:val="clear" w:color="auto" w:fill="auto"/>
          </w:tcPr>
          <w:p w14:paraId="1FC072FC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7814 h</w:t>
            </w:r>
          </w:p>
        </w:tc>
        <w:tc>
          <w:tcPr>
            <w:tcW w:w="2408" w:type="dxa"/>
            <w:shd w:val="clear" w:color="auto" w:fill="auto"/>
          </w:tcPr>
          <w:p w14:paraId="3507EEE3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10040 h</w:t>
            </w:r>
          </w:p>
        </w:tc>
        <w:tc>
          <w:tcPr>
            <w:tcW w:w="2133" w:type="dxa"/>
          </w:tcPr>
          <w:p w14:paraId="0C643CEE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20 120 h</w:t>
            </w:r>
          </w:p>
        </w:tc>
      </w:tr>
      <w:tr w:rsidR="001449AF" w:rsidRPr="00D7100E" w14:paraId="5CA6C3E0" w14:textId="77777777" w:rsidTr="009141B7">
        <w:tc>
          <w:tcPr>
            <w:tcW w:w="2319" w:type="dxa"/>
            <w:shd w:val="clear" w:color="auto" w:fill="auto"/>
          </w:tcPr>
          <w:p w14:paraId="2939463B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Pompe C</w:t>
            </w:r>
          </w:p>
        </w:tc>
        <w:tc>
          <w:tcPr>
            <w:tcW w:w="2426" w:type="dxa"/>
            <w:shd w:val="clear" w:color="auto" w:fill="auto"/>
          </w:tcPr>
          <w:p w14:paraId="154811F0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7763 h</w:t>
            </w:r>
          </w:p>
        </w:tc>
        <w:tc>
          <w:tcPr>
            <w:tcW w:w="2408" w:type="dxa"/>
            <w:shd w:val="clear" w:color="auto" w:fill="auto"/>
          </w:tcPr>
          <w:p w14:paraId="08E4E920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10160 h</w:t>
            </w:r>
          </w:p>
        </w:tc>
        <w:tc>
          <w:tcPr>
            <w:tcW w:w="2133" w:type="dxa"/>
          </w:tcPr>
          <w:p w14:paraId="50D0284C" w14:textId="77777777" w:rsidR="001449AF" w:rsidRPr="00D7100E" w:rsidRDefault="001449AF" w:rsidP="001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7100E">
              <w:rPr>
                <w:rFonts w:ascii="Calibri" w:hAnsi="Calibri" w:cs="Calibri"/>
              </w:rPr>
              <w:t>20 230 h</w:t>
            </w:r>
          </w:p>
        </w:tc>
      </w:tr>
    </w:tbl>
    <w:p w14:paraId="52A17B09" w14:textId="77777777" w:rsidR="002F265D" w:rsidRPr="00D7100E" w:rsidRDefault="002F265D" w:rsidP="00175C8C">
      <w:pPr>
        <w:autoSpaceDE w:val="0"/>
        <w:autoSpaceDN w:val="0"/>
        <w:adjustRightInd w:val="0"/>
        <w:rPr>
          <w:rFonts w:ascii="Calibri" w:hAnsi="Calibri" w:cs="Calibri"/>
        </w:rPr>
      </w:pPr>
    </w:p>
    <w:p w14:paraId="17F9D9F2" w14:textId="4941CEDD" w:rsidR="00175C8C" w:rsidRPr="00D7100E" w:rsidRDefault="00175C8C" w:rsidP="00175C8C">
      <w:pPr>
        <w:rPr>
          <w:rFonts w:ascii="Calibri" w:hAnsi="Calibri"/>
          <w:b/>
          <w:sz w:val="40"/>
          <w:szCs w:val="40"/>
          <w:u w:val="single"/>
        </w:rPr>
      </w:pPr>
      <w:r w:rsidRPr="00D7100E">
        <w:rPr>
          <w:rFonts w:ascii="Calibri" w:hAnsi="Calibri"/>
          <w:b/>
          <w:u w:val="single"/>
        </w:rPr>
        <w:t>Hôpital de Chamonix</w:t>
      </w:r>
    </w:p>
    <w:p w14:paraId="414451EB" w14:textId="77777777" w:rsidR="001449AF" w:rsidRPr="00D7100E" w:rsidRDefault="001449AF" w:rsidP="001449AF">
      <w:pPr>
        <w:autoSpaceDE w:val="0"/>
        <w:autoSpaceDN w:val="0"/>
        <w:adjustRightInd w:val="0"/>
        <w:rPr>
          <w:rFonts w:ascii="Calibri" w:hAnsi="Calibri" w:cs="Calibri"/>
        </w:rPr>
      </w:pPr>
      <w:r w:rsidRPr="00D7100E">
        <w:rPr>
          <w:rFonts w:ascii="Calibri" w:hAnsi="Calibri" w:cs="Calibri"/>
        </w:rPr>
        <w:t>1 centrale MINIVAC 3 ARICA 17VC2020 mise en service le 10/12/2024</w:t>
      </w:r>
    </w:p>
    <w:p w14:paraId="75076F12" w14:textId="77777777" w:rsidR="001449AF" w:rsidRPr="00D7100E" w:rsidRDefault="001449AF" w:rsidP="001449AF">
      <w:pPr>
        <w:rPr>
          <w:rFonts w:ascii="Calibri" w:hAnsi="Calibri"/>
          <w:u w:val="single"/>
        </w:rPr>
      </w:pPr>
    </w:p>
    <w:p w14:paraId="393D096A" w14:textId="77777777" w:rsidR="001449AF" w:rsidRPr="00D7100E" w:rsidRDefault="001449AF" w:rsidP="001449AF">
      <w:pPr>
        <w:autoSpaceDE w:val="0"/>
        <w:autoSpaceDN w:val="0"/>
        <w:adjustRightInd w:val="0"/>
        <w:rPr>
          <w:rFonts w:ascii="Calibri" w:hAnsi="Calibri" w:cs="Calibri"/>
        </w:rPr>
      </w:pPr>
      <w:r w:rsidRPr="00D7100E">
        <w:rPr>
          <w:rFonts w:ascii="Calibri" w:hAnsi="Calibri" w:cs="Calibri"/>
        </w:rPr>
        <w:t>A titre d’information, heures de fonctionnement relevées 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D7100E" w:rsidRPr="00D7100E" w14:paraId="66102265" w14:textId="77777777" w:rsidTr="009141B7">
        <w:tc>
          <w:tcPr>
            <w:tcW w:w="4644" w:type="dxa"/>
            <w:shd w:val="clear" w:color="auto" w:fill="auto"/>
          </w:tcPr>
          <w:p w14:paraId="759EF55B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678" w:type="dxa"/>
          </w:tcPr>
          <w:p w14:paraId="6E3799B2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 w:rsidRPr="00D7100E">
              <w:rPr>
                <w:rFonts w:ascii="Calibri" w:hAnsi="Calibri"/>
              </w:rPr>
              <w:t>Août 2025</w:t>
            </w:r>
          </w:p>
        </w:tc>
      </w:tr>
      <w:tr w:rsidR="00D7100E" w:rsidRPr="00D7100E" w14:paraId="3F00C9AA" w14:textId="77777777" w:rsidTr="009141B7">
        <w:tc>
          <w:tcPr>
            <w:tcW w:w="4644" w:type="dxa"/>
            <w:shd w:val="clear" w:color="auto" w:fill="auto"/>
          </w:tcPr>
          <w:p w14:paraId="140469B7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7100E">
              <w:rPr>
                <w:rFonts w:ascii="Calibri" w:hAnsi="Calibri"/>
              </w:rPr>
              <w:t>Pompe A</w:t>
            </w:r>
          </w:p>
        </w:tc>
        <w:tc>
          <w:tcPr>
            <w:tcW w:w="4678" w:type="dxa"/>
          </w:tcPr>
          <w:p w14:paraId="08584FF9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 w:rsidRPr="00D7100E">
              <w:rPr>
                <w:rFonts w:ascii="Calibri" w:hAnsi="Calibri"/>
              </w:rPr>
              <w:t>401 h</w:t>
            </w:r>
          </w:p>
        </w:tc>
      </w:tr>
      <w:tr w:rsidR="00D7100E" w:rsidRPr="00D7100E" w14:paraId="539ED8F5" w14:textId="77777777" w:rsidTr="009141B7">
        <w:tc>
          <w:tcPr>
            <w:tcW w:w="4644" w:type="dxa"/>
            <w:shd w:val="clear" w:color="auto" w:fill="auto"/>
          </w:tcPr>
          <w:p w14:paraId="1C45602B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7100E">
              <w:rPr>
                <w:rFonts w:ascii="Calibri" w:hAnsi="Calibri"/>
              </w:rPr>
              <w:t>Pompe B</w:t>
            </w:r>
          </w:p>
        </w:tc>
        <w:tc>
          <w:tcPr>
            <w:tcW w:w="4678" w:type="dxa"/>
          </w:tcPr>
          <w:p w14:paraId="2C870A32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 w:rsidRPr="00D7100E">
              <w:rPr>
                <w:rFonts w:ascii="Calibri" w:hAnsi="Calibri"/>
              </w:rPr>
              <w:t>405 h</w:t>
            </w:r>
          </w:p>
        </w:tc>
      </w:tr>
      <w:tr w:rsidR="00D7100E" w:rsidRPr="00D7100E" w14:paraId="17F5BC34" w14:textId="77777777" w:rsidTr="009141B7">
        <w:tc>
          <w:tcPr>
            <w:tcW w:w="4644" w:type="dxa"/>
            <w:shd w:val="clear" w:color="auto" w:fill="auto"/>
          </w:tcPr>
          <w:p w14:paraId="0FF62312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7100E">
              <w:rPr>
                <w:rFonts w:ascii="Calibri" w:hAnsi="Calibri"/>
              </w:rPr>
              <w:t>Pompe C</w:t>
            </w:r>
          </w:p>
        </w:tc>
        <w:tc>
          <w:tcPr>
            <w:tcW w:w="4678" w:type="dxa"/>
          </w:tcPr>
          <w:p w14:paraId="70AC2AE0" w14:textId="77777777" w:rsidR="001449AF" w:rsidRPr="00D7100E" w:rsidRDefault="001449AF" w:rsidP="009141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 w:rsidRPr="00D7100E">
              <w:rPr>
                <w:rFonts w:ascii="Calibri" w:hAnsi="Calibri"/>
              </w:rPr>
              <w:t>402 h</w:t>
            </w:r>
          </w:p>
        </w:tc>
      </w:tr>
    </w:tbl>
    <w:p w14:paraId="64C2F78C" w14:textId="77777777" w:rsidR="00175C8C" w:rsidRPr="006F7461" w:rsidRDefault="00175C8C" w:rsidP="00175C8C">
      <w:pPr>
        <w:rPr>
          <w:rFonts w:ascii="Calibri" w:hAnsi="Calibri"/>
          <w:u w:val="single"/>
        </w:rPr>
      </w:pPr>
    </w:p>
    <w:p w14:paraId="269F952C" w14:textId="77777777" w:rsidR="00175C8C" w:rsidRPr="006F7461" w:rsidRDefault="00175C8C" w:rsidP="00175C8C">
      <w:pPr>
        <w:autoSpaceDE w:val="0"/>
        <w:autoSpaceDN w:val="0"/>
        <w:adjustRightInd w:val="0"/>
        <w:rPr>
          <w:rFonts w:ascii="Calibri" w:hAnsi="Calibri" w:cs="Calibri"/>
        </w:rPr>
      </w:pPr>
    </w:p>
    <w:p w14:paraId="532A6E42" w14:textId="77777777" w:rsidR="00A671DA" w:rsidRPr="00AE2F9D" w:rsidRDefault="00A671DA" w:rsidP="00A671DA">
      <w:pPr>
        <w:pStyle w:val="Texte"/>
        <w:tabs>
          <w:tab w:val="left" w:pos="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b/>
          <w:sz w:val="20"/>
        </w:rPr>
      </w:pPr>
      <w:r w:rsidRPr="003B67A5">
        <w:rPr>
          <w:rFonts w:asciiTheme="minorHAnsi" w:hAnsiTheme="minorHAnsi"/>
          <w:b/>
          <w:szCs w:val="24"/>
          <w:u w:val="single"/>
        </w:rPr>
        <w:t>Maintenance</w:t>
      </w:r>
      <w:r w:rsidRPr="00AE2F9D">
        <w:rPr>
          <w:rFonts w:ascii="Corbel" w:hAnsi="Corbel"/>
          <w:b/>
          <w:sz w:val="20"/>
        </w:rPr>
        <w:t xml:space="preserve"> :</w:t>
      </w:r>
    </w:p>
    <w:p w14:paraId="1DD4B970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Le titulaire a une obligation de moyens et de résultats.</w:t>
      </w:r>
    </w:p>
    <w:p w14:paraId="04DAC0E7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spacing w:before="120"/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Le titulaire assure l’ensemble des entretiens de maintenance préventive et curative des installations.</w:t>
      </w:r>
    </w:p>
    <w:p w14:paraId="57270EC5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spacing w:before="120"/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Le titulaire procédera à tous les contrôles réglementaires imposés pour ce type d’installation, il fournira à l’établissement tous les documents relatifs au résultat de ces contrôles.</w:t>
      </w:r>
    </w:p>
    <w:p w14:paraId="106E85E5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spacing w:before="120"/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La maintenance de l’installation sera entièrement à la charge du titulaire et sera réalisée selon les prescriptions préconisées par le constructeur des matériels installés.</w:t>
      </w:r>
    </w:p>
    <w:p w14:paraId="7B134C00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sz w:val="20"/>
        </w:rPr>
      </w:pPr>
    </w:p>
    <w:p w14:paraId="2E57837A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 xml:space="preserve">Les </w:t>
      </w:r>
      <w:r w:rsidRPr="00AE2F9D">
        <w:rPr>
          <w:rFonts w:ascii="Corbel" w:hAnsi="Corbel"/>
          <w:b/>
          <w:bCs/>
          <w:sz w:val="20"/>
        </w:rPr>
        <w:t>vérifications</w:t>
      </w:r>
      <w:r w:rsidRPr="00AE2F9D">
        <w:rPr>
          <w:rFonts w:ascii="Corbel" w:hAnsi="Corbel"/>
          <w:sz w:val="20"/>
        </w:rPr>
        <w:t xml:space="preserve"> seront </w:t>
      </w:r>
      <w:r w:rsidRPr="00AE2F9D">
        <w:rPr>
          <w:rFonts w:ascii="Corbel" w:hAnsi="Corbel"/>
          <w:b/>
          <w:bCs/>
          <w:color w:val="auto"/>
          <w:sz w:val="20"/>
        </w:rPr>
        <w:t>semestrielles</w:t>
      </w:r>
      <w:r w:rsidRPr="00AE2F9D">
        <w:rPr>
          <w:rFonts w:ascii="Corbel" w:hAnsi="Corbel"/>
          <w:sz w:val="20"/>
        </w:rPr>
        <w:t xml:space="preserve"> et comporteront :</w:t>
      </w:r>
    </w:p>
    <w:p w14:paraId="6E5BB350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sz w:val="20"/>
          <w:u w:val="single"/>
        </w:rPr>
      </w:pPr>
      <w:r w:rsidRPr="00AE2F9D">
        <w:rPr>
          <w:rFonts w:ascii="Corbel" w:hAnsi="Corbel"/>
          <w:sz w:val="20"/>
          <w:u w:val="single"/>
        </w:rPr>
        <w:t>Sources</w:t>
      </w:r>
    </w:p>
    <w:p w14:paraId="4EFAF5A7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color w:val="auto"/>
          <w:sz w:val="20"/>
        </w:rPr>
      </w:pPr>
      <w:r w:rsidRPr="00AE2F9D">
        <w:rPr>
          <w:rFonts w:ascii="Corbel" w:hAnsi="Corbel"/>
          <w:color w:val="auto"/>
          <w:sz w:val="20"/>
        </w:rPr>
        <w:t>Essais de fonctionnement des pompes, essai de basculement de la source principale sur les sources en attente</w:t>
      </w:r>
    </w:p>
    <w:p w14:paraId="0CAEEF99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color w:val="auto"/>
          <w:sz w:val="20"/>
        </w:rPr>
      </w:pPr>
      <w:r w:rsidRPr="00AE2F9D">
        <w:rPr>
          <w:rFonts w:ascii="Corbel" w:hAnsi="Corbel"/>
          <w:color w:val="auto"/>
          <w:sz w:val="20"/>
        </w:rPr>
        <w:tab/>
      </w:r>
    </w:p>
    <w:p w14:paraId="2E2A7196" w14:textId="77777777" w:rsidR="00A671DA" w:rsidRPr="00AE2F9D" w:rsidRDefault="00A671DA" w:rsidP="00A671DA">
      <w:pPr>
        <w:pStyle w:val="Texte"/>
        <w:tabs>
          <w:tab w:val="left" w:pos="72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sz w:val="20"/>
          <w:u w:val="single"/>
        </w:rPr>
      </w:pPr>
      <w:r w:rsidRPr="00AE2F9D">
        <w:rPr>
          <w:rFonts w:ascii="Corbel" w:hAnsi="Corbel"/>
          <w:sz w:val="20"/>
          <w:u w:val="single"/>
        </w:rPr>
        <w:t>Alarmes</w:t>
      </w:r>
    </w:p>
    <w:p w14:paraId="2D545964" w14:textId="77777777" w:rsidR="00A671DA" w:rsidRPr="00AE2F9D" w:rsidRDefault="00A671DA" w:rsidP="00A671DA">
      <w:pPr>
        <w:pStyle w:val="Texte"/>
        <w:tabs>
          <w:tab w:val="left" w:pos="0"/>
          <w:tab w:val="left" w:pos="1440"/>
          <w:tab w:val="left" w:pos="2880"/>
          <w:tab w:val="left" w:pos="4320"/>
          <w:tab w:val="left" w:pos="7680"/>
        </w:tabs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 xml:space="preserve">Essais de fonctionnement des points d’alarmes et de leur report sur </w:t>
      </w:r>
      <w:smartTag w:uri="urn:schemas-microsoft-com:office:smarttags" w:element="PersonName">
        <w:smartTagPr>
          <w:attr w:name="ProductID" w:val="la GTC"/>
        </w:smartTagPr>
        <w:r w:rsidRPr="00AE2F9D">
          <w:rPr>
            <w:rFonts w:ascii="Corbel" w:hAnsi="Corbel"/>
            <w:sz w:val="20"/>
          </w:rPr>
          <w:t>la GTC</w:t>
        </w:r>
      </w:smartTag>
      <w:r w:rsidRPr="00AE2F9D">
        <w:rPr>
          <w:rFonts w:ascii="Corbel" w:hAnsi="Corbel"/>
          <w:sz w:val="20"/>
        </w:rPr>
        <w:t xml:space="preserve"> de l’établissement.</w:t>
      </w:r>
    </w:p>
    <w:p w14:paraId="17F61943" w14:textId="77777777" w:rsidR="00A671DA" w:rsidRPr="00AE2F9D" w:rsidRDefault="00A671DA" w:rsidP="00A671DA">
      <w:pPr>
        <w:pStyle w:val="Texte"/>
        <w:tabs>
          <w:tab w:val="left" w:pos="0"/>
          <w:tab w:val="left" w:pos="720"/>
          <w:tab w:val="left" w:pos="1440"/>
          <w:tab w:val="left" w:pos="2880"/>
          <w:tab w:val="left" w:pos="4320"/>
          <w:tab w:val="left" w:pos="7680"/>
        </w:tabs>
        <w:spacing w:before="120"/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Le titulaire proposera dans son offre un programme d’entretien adapté aux différentes installations.</w:t>
      </w:r>
    </w:p>
    <w:p w14:paraId="5733E133" w14:textId="77777777" w:rsidR="00A671DA" w:rsidRPr="00AE2F9D" w:rsidRDefault="00A671DA" w:rsidP="00A671DA">
      <w:pPr>
        <w:pStyle w:val="Texte"/>
        <w:tabs>
          <w:tab w:val="left" w:pos="0"/>
          <w:tab w:val="left" w:pos="1440"/>
          <w:tab w:val="left" w:pos="2880"/>
          <w:tab w:val="left" w:pos="4320"/>
          <w:tab w:val="left" w:pos="7680"/>
        </w:tabs>
        <w:spacing w:before="120"/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L’ensemble des documents relatifs aux essais et vérifications seront transmis aux Services Techniques de l’établissement.</w:t>
      </w:r>
    </w:p>
    <w:p w14:paraId="7C5354C4" w14:textId="77777777" w:rsidR="00A671DA" w:rsidRPr="00AE2F9D" w:rsidRDefault="00A671DA" w:rsidP="00A671DA">
      <w:pPr>
        <w:pStyle w:val="Texte"/>
        <w:tabs>
          <w:tab w:val="left" w:pos="0"/>
          <w:tab w:val="left" w:pos="1440"/>
          <w:tab w:val="left" w:pos="2880"/>
          <w:tab w:val="left" w:pos="4320"/>
          <w:tab w:val="left" w:pos="7680"/>
        </w:tabs>
        <w:spacing w:before="120"/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En outre, le prestataire devra remplir le registre de sécurité disponible au service sécurité de l’établissement et y inscrire les dates de visite.</w:t>
      </w:r>
    </w:p>
    <w:p w14:paraId="23E7CAFB" w14:textId="77777777" w:rsidR="00A671DA" w:rsidRPr="00AE2F9D" w:rsidRDefault="00A671DA" w:rsidP="00A671DA">
      <w:pPr>
        <w:pStyle w:val="Texte"/>
        <w:tabs>
          <w:tab w:val="left" w:pos="0"/>
          <w:tab w:val="left" w:pos="1440"/>
          <w:tab w:val="left" w:pos="2880"/>
          <w:tab w:val="left" w:pos="4320"/>
          <w:tab w:val="left" w:pos="7680"/>
        </w:tabs>
        <w:spacing w:before="120"/>
        <w:jc w:val="both"/>
        <w:rPr>
          <w:rFonts w:ascii="Corbel" w:hAnsi="Corbel"/>
          <w:sz w:val="20"/>
        </w:rPr>
      </w:pPr>
      <w:r w:rsidRPr="00AE2F9D">
        <w:rPr>
          <w:rFonts w:ascii="Corbel" w:hAnsi="Corbel"/>
          <w:sz w:val="20"/>
        </w:rPr>
        <w:t>L’évacuation des produits liquides extraits des matériels est à la charge du prestataire.</w:t>
      </w:r>
    </w:p>
    <w:p w14:paraId="7EB9E90B" w14:textId="77777777" w:rsidR="003A7CB6" w:rsidRDefault="003A7CB6"/>
    <w:sectPr w:rsidR="003A7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70451"/>
    <w:multiLevelType w:val="hybridMultilevel"/>
    <w:tmpl w:val="4CD883B6"/>
    <w:lvl w:ilvl="0" w:tplc="88606B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B68"/>
    <w:rsid w:val="00036D49"/>
    <w:rsid w:val="00115541"/>
    <w:rsid w:val="001449AF"/>
    <w:rsid w:val="00145C95"/>
    <w:rsid w:val="0016586B"/>
    <w:rsid w:val="00175C8C"/>
    <w:rsid w:val="002550D2"/>
    <w:rsid w:val="002938C4"/>
    <w:rsid w:val="002F265D"/>
    <w:rsid w:val="00374B68"/>
    <w:rsid w:val="003750FE"/>
    <w:rsid w:val="003A7CB6"/>
    <w:rsid w:val="003B67A5"/>
    <w:rsid w:val="004D25C1"/>
    <w:rsid w:val="00931375"/>
    <w:rsid w:val="00A671DA"/>
    <w:rsid w:val="00D7100E"/>
    <w:rsid w:val="00E1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584B7D9"/>
  <w15:docId w15:val="{EE82A9AB-CF88-4AAE-B2D9-D404A1FC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175C8C"/>
    <w:pPr>
      <w:keepNext/>
      <w:spacing w:before="240" w:after="60"/>
      <w:outlineLvl w:val="1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175C8C"/>
    <w:rPr>
      <w:rFonts w:ascii="Arial" w:eastAsia="Times New Roman" w:hAnsi="Arial" w:cs="Times New Roman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75C8C"/>
    <w:pPr>
      <w:ind w:left="708"/>
    </w:pPr>
  </w:style>
  <w:style w:type="paragraph" w:customStyle="1" w:styleId="Texte">
    <w:name w:val="Texte"/>
    <w:rsid w:val="00A671DA"/>
    <w:pPr>
      <w:spacing w:after="0" w:line="283" w:lineRule="atLeast"/>
    </w:pPr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50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50D2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931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HDPMB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Vaillant Christian</dc:creator>
  <cp:keywords/>
  <dc:description/>
  <cp:lastModifiedBy>Grognieux Sabrina</cp:lastModifiedBy>
  <cp:revision>18</cp:revision>
  <dcterms:created xsi:type="dcterms:W3CDTF">2017-02-19T08:37:00Z</dcterms:created>
  <dcterms:modified xsi:type="dcterms:W3CDTF">2025-09-09T13:00:00Z</dcterms:modified>
</cp:coreProperties>
</file>